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9B6" w:rsidRPr="00B12D6B" w:rsidRDefault="003F69B6">
      <w:pPr>
        <w:rPr>
          <w:rFonts w:ascii="Times New Roman" w:eastAsia="宋体" w:hAnsi="Times New Roman" w:cs="Times New Roman"/>
          <w:b/>
          <w:sz w:val="28"/>
          <w:szCs w:val="24"/>
        </w:rPr>
      </w:pPr>
      <w:bookmarkStart w:id="0" w:name="_GoBack"/>
      <w:bookmarkEnd w:id="0"/>
      <w:r w:rsidRPr="00B12D6B">
        <w:rPr>
          <w:rFonts w:ascii="Times New Roman" w:eastAsia="宋体" w:hAnsi="Times New Roman" w:cs="Times New Roman" w:hint="eastAsia"/>
          <w:b/>
          <w:sz w:val="28"/>
          <w:szCs w:val="24"/>
        </w:rPr>
        <w:t>附件：</w:t>
      </w:r>
    </w:p>
    <w:p w:rsidR="003F69B6" w:rsidRDefault="00B12D6B" w:rsidP="003F69B6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9C32FB">
        <w:rPr>
          <w:rFonts w:ascii="Times New Roman" w:eastAsia="宋体" w:hAnsi="Times New Roman" w:cs="Times New Roman"/>
          <w:b/>
          <w:sz w:val="28"/>
          <w:szCs w:val="28"/>
        </w:rPr>
        <w:t>湖南省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第十五届</w:t>
      </w:r>
      <w:r w:rsidRPr="009C32FB">
        <w:rPr>
          <w:rFonts w:ascii="Times New Roman" w:eastAsia="宋体" w:hAnsi="Times New Roman" w:cs="Times New Roman"/>
          <w:b/>
          <w:sz w:val="28"/>
          <w:szCs w:val="28"/>
        </w:rPr>
        <w:t>研究生创新论坛</w:t>
      </w:r>
      <w:r w:rsidR="003F69B6">
        <w:rPr>
          <w:rFonts w:ascii="Times New Roman" w:eastAsia="宋体" w:hAnsi="Times New Roman" w:cs="Times New Roman" w:hint="eastAsia"/>
          <w:b/>
          <w:sz w:val="28"/>
          <w:szCs w:val="28"/>
        </w:rPr>
        <w:t>“</w:t>
      </w:r>
      <w:r w:rsidR="003F69B6">
        <w:rPr>
          <w:rFonts w:ascii="Times New Roman" w:eastAsia="宋体" w:hAnsi="Times New Roman" w:cs="Times New Roman"/>
          <w:b/>
          <w:sz w:val="28"/>
          <w:szCs w:val="28"/>
        </w:rPr>
        <w:t>数字时代文艺创作与传播</w:t>
      </w:r>
      <w:r w:rsidR="003F69B6">
        <w:rPr>
          <w:rFonts w:ascii="Times New Roman" w:eastAsia="宋体" w:hAnsi="Times New Roman" w:cs="Times New Roman" w:hint="eastAsia"/>
          <w:b/>
          <w:sz w:val="28"/>
          <w:szCs w:val="28"/>
        </w:rPr>
        <w:t>”</w:t>
      </w:r>
    </w:p>
    <w:p w:rsidR="003F69B6" w:rsidRDefault="003F69B6" w:rsidP="003F69B6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>
        <w:rPr>
          <w:rFonts w:ascii="Times New Roman" w:eastAsia="宋体" w:hAnsi="Times New Roman" w:cs="Times New Roman"/>
          <w:b/>
          <w:sz w:val="28"/>
          <w:szCs w:val="28"/>
        </w:rPr>
        <w:t>分论坛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征文获奖名单公示</w:t>
      </w:r>
    </w:p>
    <w:p w:rsidR="003F69B6" w:rsidRDefault="003F69B6" w:rsidP="003F69B6">
      <w:pPr>
        <w:adjustRightInd w:val="0"/>
        <w:snapToGrid w:val="0"/>
        <w:spacing w:line="480" w:lineRule="exact"/>
        <w:ind w:firstLineChars="200" w:firstLine="480"/>
        <w:jc w:val="lef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由湖南省人民政府学位委员会、湖南省教育厅主办，湖南工商大学研究生院、数字传媒与人文学院承办的湖南省研究生创新论坛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数字时代文艺创作与传播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分论坛，经过前期宣传发动，高校精心组织，学生踊跃参与，截止</w:t>
      </w:r>
      <w:r>
        <w:rPr>
          <w:rFonts w:ascii="Times New Roman" w:eastAsia="宋体" w:hAnsi="Times New Roman" w:cs="Times New Roman"/>
          <w:sz w:val="24"/>
          <w:szCs w:val="24"/>
        </w:rPr>
        <w:t>2022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11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/>
          <w:sz w:val="24"/>
          <w:szCs w:val="24"/>
        </w:rPr>
        <w:t>4</w:t>
      </w:r>
      <w:r w:rsidR="00B12D6B">
        <w:rPr>
          <w:rFonts w:ascii="Times New Roman" w:eastAsia="宋体" w:hAnsi="Times New Roman" w:cs="Times New Roman" w:hint="eastAsia"/>
          <w:sz w:val="24"/>
          <w:szCs w:val="24"/>
        </w:rPr>
        <w:t>:</w:t>
      </w:r>
      <w:r>
        <w:rPr>
          <w:rFonts w:ascii="Times New Roman" w:eastAsia="宋体" w:hAnsi="Times New Roman" w:cs="Times New Roman"/>
          <w:sz w:val="24"/>
          <w:szCs w:val="24"/>
        </w:rPr>
        <w:t>00</w:t>
      </w:r>
      <w:r>
        <w:rPr>
          <w:rFonts w:ascii="Times New Roman" w:eastAsia="宋体" w:hAnsi="Times New Roman" w:cs="Times New Roman"/>
          <w:sz w:val="24"/>
          <w:szCs w:val="24"/>
        </w:rPr>
        <w:t>，共收到省内外</w:t>
      </w:r>
      <w:r>
        <w:rPr>
          <w:rFonts w:ascii="Times New Roman" w:eastAsia="宋体" w:hAnsi="Times New Roman" w:cs="Times New Roman"/>
          <w:sz w:val="24"/>
          <w:szCs w:val="24"/>
        </w:rPr>
        <w:t>15</w:t>
      </w:r>
      <w:r>
        <w:rPr>
          <w:rFonts w:ascii="Times New Roman" w:eastAsia="宋体" w:hAnsi="Times New Roman" w:cs="Times New Roman"/>
          <w:sz w:val="24"/>
          <w:szCs w:val="24"/>
        </w:rPr>
        <w:t>所高校</w:t>
      </w:r>
      <w:r>
        <w:rPr>
          <w:rFonts w:ascii="Times New Roman" w:eastAsia="宋体" w:hAnsi="Times New Roman" w:cs="Times New Roman" w:hint="eastAsia"/>
          <w:sz w:val="24"/>
          <w:szCs w:val="24"/>
        </w:rPr>
        <w:t>研究生征文投稿</w:t>
      </w:r>
      <w:r>
        <w:rPr>
          <w:rFonts w:ascii="Times New Roman" w:eastAsia="宋体" w:hAnsi="Times New Roman" w:cs="Times New Roman"/>
          <w:sz w:val="24"/>
          <w:szCs w:val="24"/>
        </w:rPr>
        <w:t>135</w:t>
      </w:r>
      <w:r>
        <w:rPr>
          <w:rFonts w:ascii="Times New Roman" w:eastAsia="宋体" w:hAnsi="Times New Roman" w:cs="Times New Roman"/>
          <w:sz w:val="24"/>
          <w:szCs w:val="24"/>
        </w:rPr>
        <w:t>篇</w:t>
      </w:r>
      <w:r>
        <w:rPr>
          <w:rFonts w:ascii="Times New Roman" w:eastAsia="宋体" w:hAnsi="Times New Roman" w:cs="Times New Roman" w:hint="eastAsia"/>
          <w:sz w:val="24"/>
          <w:szCs w:val="24"/>
        </w:rPr>
        <w:t>，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经知网查重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，校内外专家对论文选题与论坛主题吻合度及论文质量综合</w:t>
      </w:r>
      <w:proofErr w:type="gramStart"/>
      <w:r>
        <w:rPr>
          <w:rFonts w:ascii="Times New Roman" w:eastAsia="宋体" w:hAnsi="Times New Roman" w:cs="Times New Roman" w:hint="eastAsia"/>
          <w:sz w:val="24"/>
          <w:szCs w:val="24"/>
        </w:rPr>
        <w:t>考量</w:t>
      </w:r>
      <w:proofErr w:type="gramEnd"/>
      <w:r>
        <w:rPr>
          <w:rFonts w:ascii="Times New Roman" w:eastAsia="宋体" w:hAnsi="Times New Roman" w:cs="Times New Roman" w:hint="eastAsia"/>
          <w:sz w:val="24"/>
          <w:szCs w:val="24"/>
        </w:rPr>
        <w:t>的二轮双盲评审</w:t>
      </w:r>
      <w:r>
        <w:rPr>
          <w:rFonts w:ascii="Times New Roman" w:eastAsia="宋体" w:hAnsi="Times New Roman" w:cs="Times New Roman"/>
          <w:sz w:val="24"/>
          <w:szCs w:val="24"/>
        </w:rPr>
        <w:t>，</w:t>
      </w:r>
      <w:r>
        <w:rPr>
          <w:rFonts w:ascii="Times New Roman" w:eastAsia="宋体" w:hAnsi="Times New Roman" w:cs="Times New Roman" w:hint="eastAsia"/>
          <w:sz w:val="24"/>
          <w:szCs w:val="24"/>
        </w:rPr>
        <w:t>评出一等奖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人，二等奖</w:t>
      </w:r>
      <w:r>
        <w:rPr>
          <w:rFonts w:ascii="Times New Roman" w:eastAsia="宋体" w:hAnsi="Times New Roman" w:cs="Times New Roman"/>
          <w:sz w:val="24"/>
          <w:szCs w:val="24"/>
        </w:rPr>
        <w:t>14</w:t>
      </w:r>
      <w:r>
        <w:rPr>
          <w:rFonts w:ascii="Times New Roman" w:eastAsia="宋体" w:hAnsi="Times New Roman" w:cs="Times New Roman"/>
          <w:sz w:val="24"/>
          <w:szCs w:val="24"/>
        </w:rPr>
        <w:t>人，三等奖</w:t>
      </w:r>
      <w:r>
        <w:rPr>
          <w:rFonts w:ascii="Times New Roman" w:eastAsia="宋体" w:hAnsi="Times New Roman" w:cs="Times New Roman"/>
          <w:sz w:val="24"/>
          <w:szCs w:val="24"/>
        </w:rPr>
        <w:t>20</w:t>
      </w:r>
      <w:r>
        <w:rPr>
          <w:rFonts w:ascii="Times New Roman" w:eastAsia="宋体" w:hAnsi="Times New Roman" w:cs="Times New Roman"/>
          <w:sz w:val="24"/>
          <w:szCs w:val="24"/>
        </w:rPr>
        <w:t>人</w:t>
      </w:r>
      <w:r>
        <w:rPr>
          <w:rFonts w:ascii="Times New Roman" w:eastAsia="宋体" w:hAnsi="Times New Roman" w:cs="Times New Roman" w:hint="eastAsia"/>
          <w:sz w:val="24"/>
          <w:szCs w:val="24"/>
        </w:rPr>
        <w:t>。现将获奖名单公示如下，公示期为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sz w:val="24"/>
          <w:szCs w:val="24"/>
        </w:rPr>
        <w:t>日至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0</w:t>
      </w:r>
      <w:r>
        <w:rPr>
          <w:rFonts w:ascii="Times New Roman" w:eastAsia="宋体" w:hAnsi="Times New Roman" w:cs="Times New Roman" w:hint="eastAsia"/>
          <w:sz w:val="24"/>
          <w:szCs w:val="24"/>
        </w:rPr>
        <w:t>日，如有异议，请及时反馈至湖南工商大学数字传媒与人文学院王佩良（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5873181722</w:t>
      </w:r>
      <w:r>
        <w:rPr>
          <w:rFonts w:ascii="Times New Roman" w:eastAsia="宋体" w:hAnsi="Times New Roman" w:cs="Times New Roman" w:hint="eastAsia"/>
          <w:sz w:val="24"/>
          <w:szCs w:val="24"/>
        </w:rPr>
        <w:t>）、何泓彦（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3077389482</w:t>
      </w:r>
      <w:r>
        <w:rPr>
          <w:rFonts w:ascii="Times New Roman" w:eastAsia="宋体" w:hAnsi="Times New Roman" w:cs="Times New Roman" w:hint="eastAsia"/>
          <w:sz w:val="24"/>
          <w:szCs w:val="24"/>
        </w:rPr>
        <w:t>），邮箱：</w:t>
      </w:r>
      <w:hyperlink r:id="rId6" w:history="1">
        <w:r w:rsidRPr="00BE231E">
          <w:rPr>
            <w:rStyle w:val="a4"/>
            <w:rFonts w:ascii="Times New Roman" w:eastAsia="宋体" w:hAnsi="Times New Roman" w:cs="Times New Roman" w:hint="eastAsia"/>
            <w:sz w:val="24"/>
            <w:szCs w:val="24"/>
          </w:rPr>
          <w:t>1</w:t>
        </w:r>
        <w:r w:rsidRPr="00BE231E">
          <w:rPr>
            <w:rStyle w:val="a4"/>
            <w:rFonts w:ascii="Times New Roman" w:eastAsia="宋体" w:hAnsi="Times New Roman" w:cs="Times New Roman"/>
            <w:sz w:val="24"/>
            <w:szCs w:val="24"/>
          </w:rPr>
          <w:t>745598105@qq.com</w:t>
        </w:r>
      </w:hyperlink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</w:p>
    <w:tbl>
      <w:tblPr>
        <w:tblStyle w:val="a3"/>
        <w:tblW w:w="8428" w:type="dxa"/>
        <w:jc w:val="center"/>
        <w:tblLook w:val="04A0" w:firstRow="1" w:lastRow="0" w:firstColumn="1" w:lastColumn="0" w:noHBand="0" w:noVBand="1"/>
      </w:tblPr>
      <w:tblGrid>
        <w:gridCol w:w="683"/>
        <w:gridCol w:w="1100"/>
        <w:gridCol w:w="1689"/>
        <w:gridCol w:w="4067"/>
        <w:gridCol w:w="889"/>
      </w:tblGrid>
      <w:tr w:rsidR="003F69B6" w:rsidTr="001745A6">
        <w:trPr>
          <w:trHeight w:val="792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jc w:val="center"/>
              <w:rPr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序号</w:t>
            </w:r>
          </w:p>
        </w:tc>
        <w:tc>
          <w:tcPr>
            <w:tcW w:w="1100" w:type="dxa"/>
            <w:vAlign w:val="center"/>
          </w:tcPr>
          <w:p w:rsidR="001745A6" w:rsidRDefault="003F69B6" w:rsidP="004322A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学生</w:t>
            </w:r>
          </w:p>
          <w:p w:rsidR="003F69B6" w:rsidRDefault="003F69B6" w:rsidP="004322AB">
            <w:pPr>
              <w:jc w:val="center"/>
              <w:rPr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姓名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jc w:val="center"/>
              <w:rPr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单位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jc w:val="center"/>
              <w:rPr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作品</w:t>
            </w:r>
          </w:p>
        </w:tc>
        <w:tc>
          <w:tcPr>
            <w:tcW w:w="889" w:type="dxa"/>
            <w:vAlign w:val="center"/>
          </w:tcPr>
          <w:p w:rsidR="001745A6" w:rsidRDefault="001745A6" w:rsidP="004322AB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获奖</w:t>
            </w:r>
          </w:p>
          <w:p w:rsidR="003F69B6" w:rsidRDefault="003F69B6" w:rsidP="004322AB">
            <w:pPr>
              <w:jc w:val="center"/>
              <w:rPr>
                <w:b/>
              </w:rPr>
            </w:pPr>
            <w:r>
              <w:rPr>
                <w:rFonts w:ascii="Times New Roman" w:eastAsia="宋体" w:hAnsi="Times New Roman" w:cs="Times New Roman" w:hint="eastAsia"/>
                <w:b/>
                <w:szCs w:val="21"/>
              </w:rPr>
              <w:t>等级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周旺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湖南师范大学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数字化时代唐五代《切韵》系韵书的应用研究与发展——以唐五代《切韵》系韵书的联绵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词研究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为例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徐佳宁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湘潭大学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“出位之思”与跨媒介叙事的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互文性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——《倾城之恋》文学及电影文本的细读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陈媛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数字媒介下中国商界小说话语建构及其策略分析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杨希莹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F2F9C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本地能力视角下县级</w:t>
            </w:r>
            <w:proofErr w:type="gramStart"/>
            <w:r w:rsidRPr="00FF2F9C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融媒体</w:t>
            </w:r>
            <w:proofErr w:type="gramEnd"/>
            <w:r w:rsidRPr="00FF2F9C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政策扩散分析——基于五个典型案例的考察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薛雪丹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F2F9C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基于情感分析的综艺节目数字主持人受众需求研究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张莹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湖南科技大学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proofErr w:type="gramStart"/>
            <w:r w:rsidRPr="00FF2F9C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智媒时代</w:t>
            </w:r>
            <w:proofErr w:type="gramEnd"/>
            <w:r w:rsidRPr="00FF2F9C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下听觉文化未来发展走向探析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一等奖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lastRenderedPageBreak/>
              <w:t>7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欧阳可依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湖南理工学院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从“洪荒之力”看四字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格网络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流行语的发展及走向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贾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零晨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湘潭大学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认知语言学视角下的“摆烂文学”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李春玲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人与克拉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拉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：智人中心化话语下的替代伦理与后人类世界布拉依多蒂式出路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李秋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诣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湖南科技大学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由表及里：“新国风”记忆的建构研究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曾舒涵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数字人文视阈下中国网络文学出海研究——以玄幻小说为例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何晓军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湘潭大学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媒介霸权与视觉主导 —— 数字时代的中国网络文学影视化建构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丁思存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中南大学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数字时代网络文学批评标准建构的必要与可能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施婉仪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破壁与重组：数字时代的新闻生产变革逻辑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何萍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南华大学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“四史”教育类短视频传播效果及其影响因素研究——以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“共青团中央”抖音号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为例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吴梦茹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数字时代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下微博劳工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参与式情感劳动与资本剥削形式的研究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刘震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湘潭大学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元宇宙视域下</w:t>
            </w:r>
            <w:r w:rsidRPr="00F842CD"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NFT艺术品未来的探析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刘新平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阅读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类微信公众号文学经典推文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影响力及用户需求特征研究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季凯华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湖南科技大学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“失落的控制”：语境崩溃情境下的聊天截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图传播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实践——基于技术可供性的视角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柴欣欣</w:t>
            </w:r>
          </w:p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张荣领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南华大学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基于隐喻抽取技术的旅游文创设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计研究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——以浙江省江山市为例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二等奖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吕可</w:t>
            </w:r>
          </w:p>
        </w:tc>
        <w:tc>
          <w:tcPr>
            <w:tcW w:w="1689" w:type="dxa"/>
            <w:vAlign w:val="center"/>
          </w:tcPr>
          <w:p w:rsidR="003F69B6" w:rsidRDefault="003F69B6" w:rsidP="00B12D6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湖南师范大学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“走X”“跑X”类词汇对称现象的数据性考察及认知成因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罗红艺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湖南理工学院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“滑”类形容词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的义场构建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及“丝滑”的引申——基于BCC语料库（2005—2022）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的语例计量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分析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邱妍</w:t>
            </w:r>
          </w:p>
        </w:tc>
        <w:tc>
          <w:tcPr>
            <w:tcW w:w="1689" w:type="dxa"/>
            <w:vAlign w:val="center"/>
          </w:tcPr>
          <w:p w:rsidR="003F69B6" w:rsidRDefault="003F69B6" w:rsidP="00B12D6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万载县客家方言特征词调查研究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牛璐瑶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论“女性向”网络小说的“她文化”悖论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章贝格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数字时代的人文科学新探索——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论作为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方法论的数字人文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彭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天赐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省级图书馆古籍数字化建构现状及建议——以湖南图书馆为例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粟碧琴</w:t>
            </w:r>
            <w:proofErr w:type="gramEnd"/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湖南师范大学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数字时代的女书民间语言文学文化传播研究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田汝莎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湖南理工学院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数字时代下高中古诗词教学的生命意识培养研究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孔梓睿</w:t>
            </w:r>
          </w:p>
        </w:tc>
        <w:tc>
          <w:tcPr>
            <w:tcW w:w="1689" w:type="dxa"/>
            <w:vAlign w:val="center"/>
          </w:tcPr>
          <w:p w:rsidR="003F69B6" w:rsidRDefault="003F69B6" w:rsidP="00B12D6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湘潭大学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数字时代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下关于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新主流电影的阐释实践研究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</w:pP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刘帅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湖南师范大学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后人类语境下文学身体内生性问题审视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魏玮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嵌入式传播：融屏生态下的绿色传播新机制</w:t>
            </w:r>
            <w:r w:rsidRPr="00F842CD"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--以央视扶贫直播为例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姚歆怡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B82EB5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湖南科技大学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女性与女声：声音媒介中女性文化建构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姜宗德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B82EB5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湖南理工学院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情感、技术与文化：情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动劳动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视域下虚拟直播用户体验真实的建构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谭丁元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B82EB5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湖南科技大学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微信朋友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圈中语境消解现象的时间性表达研究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张雨娟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论接受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美学视域下中国古典小说的数字化传播研究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陈思宇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B82EB5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衡阳师范学院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沿循趋势、精准定位、发散结网——数字化语境下中国经典戏剧传播路径探析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郭靖娴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新</w:t>
            </w:r>
            <w:proofErr w:type="gramStart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传专硕</w:t>
            </w:r>
            <w:proofErr w:type="gramEnd"/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马克思新闻观的培养路径研究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薛蓓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B82EB5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江西师范大学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自媒体互撕：表现、起因与影响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李佳静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B82EB5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湖南科技大学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视觉研究下公共安全事件的媒介记忆反思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  <w:tr w:rsidR="003F69B6" w:rsidTr="001745A6">
        <w:trPr>
          <w:cantSplit/>
          <w:trHeight w:hRule="exact" w:val="1134"/>
          <w:jc w:val="center"/>
        </w:trPr>
        <w:tc>
          <w:tcPr>
            <w:tcW w:w="683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1100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吕英迪</w:t>
            </w:r>
          </w:p>
        </w:tc>
        <w:tc>
          <w:tcPr>
            <w:tcW w:w="16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湖南工商大学</w:t>
            </w:r>
          </w:p>
        </w:tc>
        <w:tc>
          <w:tcPr>
            <w:tcW w:w="4067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</w:pPr>
            <w:r w:rsidRPr="00F842CD"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数字经济时代芒果</w:t>
            </w:r>
            <w:r w:rsidRPr="00F842CD"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TV</w:t>
            </w:r>
            <w:proofErr w:type="gramStart"/>
            <w:r w:rsidRPr="00F842CD"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的私域流量</w:t>
            </w:r>
            <w:proofErr w:type="gramEnd"/>
            <w:r w:rsidRPr="00F842CD">
              <w:rPr>
                <w:rFonts w:ascii="等线" w:eastAsia="等线" w:hAnsi="等线" w:cs="等线"/>
                <w:color w:val="000000"/>
                <w:kern w:val="0"/>
                <w:sz w:val="22"/>
                <w:lang w:bidi="ar"/>
              </w:rPr>
              <w:t>构建探析</w:t>
            </w:r>
          </w:p>
        </w:tc>
        <w:tc>
          <w:tcPr>
            <w:tcW w:w="889" w:type="dxa"/>
            <w:vAlign w:val="center"/>
          </w:tcPr>
          <w:p w:rsidR="003F69B6" w:rsidRDefault="003F69B6" w:rsidP="004322AB">
            <w:pPr>
              <w:widowControl/>
              <w:jc w:val="center"/>
              <w:textAlignment w:val="center"/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三等奖</w:t>
            </w:r>
          </w:p>
        </w:tc>
      </w:tr>
    </w:tbl>
    <w:p w:rsidR="003F69B6" w:rsidRDefault="003F69B6" w:rsidP="003F69B6"/>
    <w:p w:rsidR="003F69B6" w:rsidRDefault="003F69B6"/>
    <w:sectPr w:rsidR="003F69B6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84D" w:rsidRDefault="0089584D" w:rsidP="00CD131A">
      <w:r>
        <w:separator/>
      </w:r>
    </w:p>
  </w:endnote>
  <w:endnote w:type="continuationSeparator" w:id="0">
    <w:p w:rsidR="0089584D" w:rsidRDefault="0089584D" w:rsidP="00CD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633747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D131A" w:rsidRDefault="00CD131A">
            <w:pPr>
              <w:pStyle w:val="a7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F5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F5F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D131A" w:rsidRDefault="00CD131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84D" w:rsidRDefault="0089584D" w:rsidP="00CD131A">
      <w:r>
        <w:separator/>
      </w:r>
    </w:p>
  </w:footnote>
  <w:footnote w:type="continuationSeparator" w:id="0">
    <w:p w:rsidR="0089584D" w:rsidRDefault="0089584D" w:rsidP="00CD13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iYzE5NmZiODdmNDhhNmMyOGY5MGUwYTFiZjkyMmYifQ=="/>
  </w:docVars>
  <w:rsids>
    <w:rsidRoot w:val="00D700D1"/>
    <w:rsid w:val="00000207"/>
    <w:rsid w:val="00085DDE"/>
    <w:rsid w:val="00117B28"/>
    <w:rsid w:val="001745A6"/>
    <w:rsid w:val="001B4BDD"/>
    <w:rsid w:val="002F6440"/>
    <w:rsid w:val="00306F5F"/>
    <w:rsid w:val="00334B01"/>
    <w:rsid w:val="003B5C5F"/>
    <w:rsid w:val="003C2DEB"/>
    <w:rsid w:val="003F69B6"/>
    <w:rsid w:val="0050695C"/>
    <w:rsid w:val="006511B6"/>
    <w:rsid w:val="007821B5"/>
    <w:rsid w:val="007E4968"/>
    <w:rsid w:val="0089584D"/>
    <w:rsid w:val="008F4E46"/>
    <w:rsid w:val="00926EFE"/>
    <w:rsid w:val="009339E4"/>
    <w:rsid w:val="009C538A"/>
    <w:rsid w:val="00A64DE9"/>
    <w:rsid w:val="00A746DC"/>
    <w:rsid w:val="00A778E7"/>
    <w:rsid w:val="00AA44A0"/>
    <w:rsid w:val="00AF6D6D"/>
    <w:rsid w:val="00B12D6B"/>
    <w:rsid w:val="00B12E49"/>
    <w:rsid w:val="00B31DC4"/>
    <w:rsid w:val="00B82EB5"/>
    <w:rsid w:val="00C4563B"/>
    <w:rsid w:val="00C57682"/>
    <w:rsid w:val="00CD131A"/>
    <w:rsid w:val="00CD5FDE"/>
    <w:rsid w:val="00CE3920"/>
    <w:rsid w:val="00D700D1"/>
    <w:rsid w:val="00DE54A3"/>
    <w:rsid w:val="00E568BD"/>
    <w:rsid w:val="00EB30AC"/>
    <w:rsid w:val="00EB4A47"/>
    <w:rsid w:val="00EB74E8"/>
    <w:rsid w:val="00F842CD"/>
    <w:rsid w:val="00F940AE"/>
    <w:rsid w:val="00FF2F9C"/>
    <w:rsid w:val="12BE2E1E"/>
    <w:rsid w:val="17F8502F"/>
    <w:rsid w:val="1EB42688"/>
    <w:rsid w:val="2923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F0E76"/>
  <w15:docId w15:val="{AA5D230A-6077-4C52-92C3-9FF1570E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4B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CD13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13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13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131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A746D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A746D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74559810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322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He Hongyan</cp:lastModifiedBy>
  <cp:revision>3</cp:revision>
  <cp:lastPrinted>2022-12-06T14:09:00Z</cp:lastPrinted>
  <dcterms:created xsi:type="dcterms:W3CDTF">2022-12-07T00:54:00Z</dcterms:created>
  <dcterms:modified xsi:type="dcterms:W3CDTF">2022-12-07T00:54:00Z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EBB5F128EC6344A58A0B1E815AB645BF</vt:lpwstr>
  </property>
</Properties>
</file>